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9A7318">
        <w:rPr>
          <w:rFonts w:asciiTheme="majorHAnsi" w:hAnsiTheme="majorHAnsi"/>
          <w:sz w:val="22"/>
          <w:szCs w:val="22"/>
        </w:rPr>
        <w:t xml:space="preserve"> 8</w:t>
      </w:r>
      <w:r w:rsidR="002A1C96">
        <w:rPr>
          <w:rFonts w:asciiTheme="majorHAnsi" w:hAnsiTheme="majorHAnsi"/>
          <w:sz w:val="22"/>
          <w:szCs w:val="22"/>
        </w:rPr>
        <w:t>-2</w:t>
      </w:r>
      <w:r w:rsidR="009A7318">
        <w:rPr>
          <w:rFonts w:asciiTheme="majorHAnsi" w:hAnsiTheme="majorHAnsi"/>
          <w:sz w:val="22"/>
          <w:szCs w:val="22"/>
        </w:rPr>
        <w:t>/2016.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615800" w:rsidRPr="00E57AA3" w:rsidRDefault="00615800" w:rsidP="00615800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4F81BD" w:themeColor="accent1"/>
          <w:sz w:val="22"/>
          <w:szCs w:val="24"/>
        </w:rPr>
      </w:pP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</w:t>
      </w:r>
      <w:r w:rsidR="009A7318">
        <w:rPr>
          <w:rFonts w:asciiTheme="majorHAnsi" w:hAnsiTheme="majorHAnsi"/>
          <w:b/>
          <w:sz w:val="22"/>
          <w:szCs w:val="24"/>
        </w:rPr>
        <w:t>XCV. törvény 8/</w:t>
      </w:r>
      <w:proofErr w:type="gramStart"/>
      <w:r w:rsidR="009A7318">
        <w:rPr>
          <w:rFonts w:asciiTheme="majorHAnsi" w:hAnsiTheme="majorHAnsi"/>
          <w:b/>
          <w:sz w:val="22"/>
          <w:szCs w:val="24"/>
        </w:rPr>
        <w:t>A</w:t>
      </w:r>
      <w:proofErr w:type="gramEnd"/>
      <w:r w:rsidR="009A7318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="009A7318">
        <w:rPr>
          <w:rFonts w:asciiTheme="majorHAnsi" w:hAnsiTheme="majorHAnsi"/>
          <w:b/>
          <w:sz w:val="22"/>
          <w:szCs w:val="24"/>
        </w:rPr>
        <w:t>-</w:t>
      </w:r>
      <w:proofErr w:type="gramStart"/>
      <w:r w:rsidR="009A7318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9A7318">
        <w:rPr>
          <w:rFonts w:asciiTheme="majorHAnsi" w:hAnsiTheme="majorHAnsi"/>
          <w:b/>
          <w:sz w:val="22"/>
          <w:szCs w:val="24"/>
        </w:rPr>
        <w:t xml:space="preserve"> alapján a</w:t>
      </w:r>
      <w:r w:rsidRPr="00E57AA3">
        <w:rPr>
          <w:rFonts w:asciiTheme="majorHAnsi" w:hAnsiTheme="majorHAnsi"/>
          <w:b/>
          <w:sz w:val="22"/>
          <w:szCs w:val="24"/>
        </w:rPr>
        <w:t>z</w:t>
      </w:r>
      <w:r w:rsidR="009A7318">
        <w:rPr>
          <w:rFonts w:asciiTheme="majorHAnsi" w:hAnsiTheme="majorHAnsi"/>
          <w:b/>
          <w:sz w:val="22"/>
          <w:szCs w:val="24"/>
        </w:rPr>
        <w:t xml:space="preserve"> Esély Szociális és Gyermekjóléti Alapellátási Központ 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 w:rsidR="008F0AF1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D056E0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Esély Szociális és Gyermekjóléti Alapellátási Központ</w:t>
      </w:r>
    </w:p>
    <w:p w:rsidR="009D6A12" w:rsidRPr="00BE1967" w:rsidRDefault="00E57AA3" w:rsidP="00BE196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="00D056E0">
        <w:rPr>
          <w:rFonts w:asciiTheme="majorHAnsi" w:eastAsia="Calibri" w:hAnsiTheme="majorHAnsi"/>
          <w:sz w:val="22"/>
          <w:szCs w:val="22"/>
          <w:lang w:eastAsia="en-US"/>
        </w:rPr>
        <w:t>idített neve: Esély Alapellátási Központ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D056E0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6640 Csongrád, Kis-Tisza u. 4.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/>
      </w:tblPr>
      <w:tblGrid>
        <w:gridCol w:w="535"/>
        <w:gridCol w:w="4234"/>
        <w:gridCol w:w="4517"/>
      </w:tblGrid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:rsidR="00420503" w:rsidRPr="00744E0B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megnevezése</w:t>
            </w:r>
          </w:p>
        </w:tc>
        <w:tc>
          <w:tcPr>
            <w:tcW w:w="243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címe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2280" w:type="pct"/>
          </w:tcPr>
          <w:p w:rsidR="00420503" w:rsidRPr="00744E0B" w:rsidRDefault="00D056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sz. Alapellátási Központ</w:t>
            </w:r>
          </w:p>
        </w:tc>
        <w:tc>
          <w:tcPr>
            <w:tcW w:w="2432" w:type="pct"/>
          </w:tcPr>
          <w:p w:rsidR="00420503" w:rsidRPr="00744E0B" w:rsidRDefault="00D056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6640 Csongrád, Gr. Apponyi </w:t>
            </w:r>
            <w:proofErr w:type="gramStart"/>
            <w:r>
              <w:rPr>
                <w:rFonts w:asciiTheme="majorHAnsi" w:hAnsiTheme="majorHAnsi"/>
              </w:rPr>
              <w:t>A</w:t>
            </w:r>
            <w:proofErr w:type="gramEnd"/>
            <w:r>
              <w:rPr>
                <w:rFonts w:asciiTheme="majorHAnsi" w:hAnsiTheme="majorHAnsi"/>
              </w:rPr>
              <w:t>. u. 5.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2280" w:type="pct"/>
          </w:tcPr>
          <w:p w:rsidR="00420503" w:rsidRPr="00744E0B" w:rsidRDefault="00D056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II. sz. Alapellátási Központ</w:t>
            </w:r>
          </w:p>
        </w:tc>
        <w:tc>
          <w:tcPr>
            <w:tcW w:w="2432" w:type="pct"/>
          </w:tcPr>
          <w:p w:rsidR="00420503" w:rsidRPr="00744E0B" w:rsidRDefault="00D056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Fő u. 64.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2280" w:type="pct"/>
          </w:tcPr>
          <w:p w:rsidR="00420503" w:rsidRPr="00744E0B" w:rsidRDefault="00D056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III. sz. Alapellátási Központ</w:t>
            </w:r>
          </w:p>
        </w:tc>
        <w:tc>
          <w:tcPr>
            <w:tcW w:w="2432" w:type="pct"/>
          </w:tcPr>
          <w:p w:rsidR="00420503" w:rsidRPr="00744E0B" w:rsidRDefault="00D056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Bokros u. 29.</w:t>
            </w:r>
          </w:p>
        </w:tc>
      </w:tr>
      <w:tr w:rsidR="00D056E0" w:rsidRPr="007B783F" w:rsidTr="00420503">
        <w:tc>
          <w:tcPr>
            <w:tcW w:w="288" w:type="pct"/>
            <w:vAlign w:val="center"/>
          </w:tcPr>
          <w:p w:rsidR="00D056E0" w:rsidRPr="00744E0B" w:rsidRDefault="00D056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280" w:type="pct"/>
          </w:tcPr>
          <w:p w:rsidR="00D056E0" w:rsidRPr="00744E0B" w:rsidRDefault="00D056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Fogyatékosok Nappali Intézménye</w:t>
            </w:r>
          </w:p>
        </w:tc>
        <w:tc>
          <w:tcPr>
            <w:tcW w:w="2432" w:type="pct"/>
          </w:tcPr>
          <w:p w:rsidR="00D056E0" w:rsidRPr="00744E0B" w:rsidRDefault="00D056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Síp u. 3.</w:t>
            </w:r>
          </w:p>
        </w:tc>
      </w:tr>
      <w:tr w:rsidR="00D056E0" w:rsidRPr="007B783F" w:rsidTr="00420503">
        <w:tc>
          <w:tcPr>
            <w:tcW w:w="288" w:type="pct"/>
            <w:vAlign w:val="center"/>
          </w:tcPr>
          <w:p w:rsidR="00D056E0" w:rsidRPr="00744E0B" w:rsidRDefault="00D056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280" w:type="pct"/>
          </w:tcPr>
          <w:p w:rsidR="00D056E0" w:rsidRPr="00744E0B" w:rsidRDefault="00D056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Gyermekek Átmeneti Otthona</w:t>
            </w:r>
          </w:p>
        </w:tc>
        <w:tc>
          <w:tcPr>
            <w:tcW w:w="2432" w:type="pct"/>
          </w:tcPr>
          <w:p w:rsidR="00D056E0" w:rsidRPr="00744E0B" w:rsidRDefault="00D056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Széchenyi u. 29.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9D6A12" w:rsidRPr="00BE1967" w:rsidRDefault="00E57AA3" w:rsidP="00BE196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="00D056E0">
        <w:rPr>
          <w:rFonts w:asciiTheme="majorHAnsi" w:hAnsiTheme="majorHAnsi"/>
          <w:sz w:val="22"/>
          <w:szCs w:val="22"/>
        </w:rPr>
        <w:t xml:space="preserve"> szerv alapításának dátuma: 2015. 04. 01.</w:t>
      </w:r>
    </w:p>
    <w:p w:rsidR="009D6A12" w:rsidRPr="009D6A12" w:rsidRDefault="00E57AA3" w:rsidP="009D6A1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/>
      </w:tblPr>
      <w:tblGrid>
        <w:gridCol w:w="535"/>
        <w:gridCol w:w="4251"/>
        <w:gridCol w:w="4500"/>
      </w:tblGrid>
      <w:tr w:rsidR="00420503" w:rsidRPr="00E57AA3" w:rsidTr="001A47A5">
        <w:tc>
          <w:tcPr>
            <w:tcW w:w="288" w:type="pct"/>
            <w:vAlign w:val="center"/>
          </w:tcPr>
          <w:p w:rsidR="00420503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9" w:type="pct"/>
          </w:tcPr>
          <w:p w:rsidR="00420503" w:rsidRPr="00AF5D1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megnevezése</w:t>
            </w:r>
          </w:p>
        </w:tc>
        <w:tc>
          <w:tcPr>
            <w:tcW w:w="2423" w:type="pct"/>
          </w:tcPr>
          <w:p w:rsidR="00420503" w:rsidRPr="008F1B58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székhelye</w:t>
            </w:r>
          </w:p>
        </w:tc>
      </w:tr>
      <w:tr w:rsidR="00420503" w:rsidRPr="00E57AA3" w:rsidTr="001A47A5">
        <w:tc>
          <w:tcPr>
            <w:tcW w:w="288" w:type="pct"/>
            <w:vAlign w:val="center"/>
          </w:tcPr>
          <w:p w:rsidR="00420503" w:rsidRPr="00AF5D1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9" w:type="pct"/>
          </w:tcPr>
          <w:p w:rsidR="00420503" w:rsidRPr="008F1B58" w:rsidRDefault="0003335A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Szociális Ellátások Intézménye</w:t>
            </w:r>
          </w:p>
        </w:tc>
        <w:tc>
          <w:tcPr>
            <w:tcW w:w="2423" w:type="pct"/>
          </w:tcPr>
          <w:p w:rsidR="00420503" w:rsidRPr="008F1B58" w:rsidRDefault="0003335A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6640 Csongrád, Kossuth tér 7.</w:t>
            </w:r>
          </w:p>
        </w:tc>
      </w:tr>
    </w:tbl>
    <w:p w:rsidR="00E57AA3" w:rsidRPr="00BE1967" w:rsidRDefault="009D6A12" w:rsidP="00BE1967">
      <w:pPr>
        <w:tabs>
          <w:tab w:val="left" w:leader="dot" w:pos="9072"/>
        </w:tabs>
        <w:spacing w:before="720" w:after="480"/>
        <w:ind w:right="-142"/>
        <w:jc w:val="center"/>
        <w:rPr>
          <w:rFonts w:asciiTheme="majorHAnsi" w:hAnsiTheme="majorHAnsi"/>
          <w:b/>
          <w:sz w:val="28"/>
          <w:szCs w:val="24"/>
        </w:rPr>
      </w:pPr>
      <w:r w:rsidRPr="00BE1967">
        <w:rPr>
          <w:rFonts w:asciiTheme="majorHAnsi" w:hAnsiTheme="majorHAnsi"/>
          <w:b/>
          <w:sz w:val="28"/>
          <w:szCs w:val="24"/>
        </w:rPr>
        <w:t xml:space="preserve">3. </w:t>
      </w:r>
      <w:r w:rsidR="00E57AA3" w:rsidRPr="00BE1967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F932AC" w:rsidRDefault="00F932AC" w:rsidP="00F932A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3.1     </w:t>
      </w:r>
      <w:r w:rsidR="00E57AA3" w:rsidRPr="00F932AC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="00E57AA3" w:rsidRPr="00F932AC">
        <w:rPr>
          <w:rFonts w:asciiTheme="majorHAnsi" w:hAnsiTheme="majorHAnsi"/>
          <w:sz w:val="22"/>
          <w:szCs w:val="22"/>
        </w:rPr>
        <w:t>szerv irányító</w:t>
      </w:r>
      <w:proofErr w:type="gramEnd"/>
      <w:r w:rsidR="00E57AA3" w:rsidRPr="00F932AC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F932AC" w:rsidRDefault="00F932AC" w:rsidP="00F932A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           </w:t>
      </w:r>
      <w:r w:rsidR="00BE1967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.1.</w:t>
      </w:r>
      <w:proofErr w:type="gramStart"/>
      <w:r>
        <w:rPr>
          <w:rFonts w:asciiTheme="majorHAnsi" w:hAnsiTheme="majorHAnsi"/>
          <w:sz w:val="22"/>
          <w:szCs w:val="22"/>
        </w:rPr>
        <w:t xml:space="preserve">1  </w:t>
      </w:r>
      <w:r w:rsidR="005402D1" w:rsidRPr="00F932AC">
        <w:rPr>
          <w:rFonts w:asciiTheme="majorHAnsi" w:hAnsiTheme="majorHAnsi"/>
          <w:sz w:val="22"/>
          <w:szCs w:val="22"/>
        </w:rPr>
        <w:t>megnevezése</w:t>
      </w:r>
      <w:proofErr w:type="gramEnd"/>
      <w:r w:rsidR="005402D1" w:rsidRPr="00F932AC">
        <w:rPr>
          <w:rFonts w:asciiTheme="majorHAnsi" w:hAnsiTheme="majorHAnsi"/>
          <w:sz w:val="22"/>
          <w:szCs w:val="22"/>
        </w:rPr>
        <w:t>: Alsó- Tisza-menti Önkormányzati Társulás Társulási Tanácsa</w:t>
      </w:r>
    </w:p>
    <w:p w:rsidR="00E57AA3" w:rsidRPr="00F932AC" w:rsidRDefault="00F932AC" w:rsidP="00F932A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3.1.2 </w:t>
      </w:r>
      <w:r w:rsidR="005402D1" w:rsidRPr="00F932AC">
        <w:rPr>
          <w:rFonts w:asciiTheme="majorHAnsi" w:hAnsiTheme="majorHAnsi"/>
          <w:sz w:val="22"/>
          <w:szCs w:val="22"/>
        </w:rPr>
        <w:t xml:space="preserve">székhelye: 6647 Csanytelek, </w:t>
      </w:r>
      <w:proofErr w:type="spellStart"/>
      <w:r w:rsidR="005402D1" w:rsidRPr="00F932AC">
        <w:rPr>
          <w:rFonts w:asciiTheme="majorHAnsi" w:hAnsiTheme="majorHAnsi"/>
          <w:sz w:val="22"/>
          <w:szCs w:val="22"/>
        </w:rPr>
        <w:t>Volentér</w:t>
      </w:r>
      <w:proofErr w:type="spellEnd"/>
      <w:r w:rsidR="005402D1" w:rsidRPr="00F932AC">
        <w:rPr>
          <w:rFonts w:asciiTheme="majorHAnsi" w:hAnsiTheme="majorHAnsi"/>
          <w:sz w:val="22"/>
          <w:szCs w:val="22"/>
        </w:rPr>
        <w:t xml:space="preserve"> János tér 2.</w:t>
      </w:r>
    </w:p>
    <w:p w:rsidR="00C018EC" w:rsidRPr="00F932AC" w:rsidRDefault="00F932AC" w:rsidP="00F932A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3.2     </w:t>
      </w:r>
      <w:r w:rsidR="00C018EC" w:rsidRPr="00F932AC"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F932AC" w:rsidRDefault="00F932AC" w:rsidP="00F932A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43" w:hanging="15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3.2.</w:t>
      </w:r>
      <w:proofErr w:type="gramStart"/>
      <w:r>
        <w:rPr>
          <w:rFonts w:asciiTheme="majorHAnsi" w:hAnsiTheme="majorHAnsi"/>
          <w:sz w:val="22"/>
          <w:szCs w:val="22"/>
        </w:rPr>
        <w:t xml:space="preserve">1 </w:t>
      </w:r>
      <w:r w:rsidR="00C018EC" w:rsidRPr="00F932AC">
        <w:rPr>
          <w:rFonts w:asciiTheme="majorHAnsi" w:hAnsiTheme="majorHAnsi"/>
          <w:sz w:val="22"/>
          <w:szCs w:val="22"/>
        </w:rPr>
        <w:t xml:space="preserve"> </w:t>
      </w:r>
      <w:r w:rsidR="005402D1" w:rsidRPr="00F932AC">
        <w:rPr>
          <w:rFonts w:asciiTheme="majorHAnsi" w:hAnsiTheme="majorHAnsi"/>
          <w:sz w:val="22"/>
          <w:szCs w:val="22"/>
        </w:rPr>
        <w:t>megnevezése</w:t>
      </w:r>
      <w:proofErr w:type="gramEnd"/>
      <w:r w:rsidR="005402D1" w:rsidRPr="00F932AC">
        <w:rPr>
          <w:rFonts w:asciiTheme="majorHAnsi" w:hAnsiTheme="majorHAnsi"/>
          <w:sz w:val="22"/>
          <w:szCs w:val="22"/>
        </w:rPr>
        <w:t>: Alsó- Tisza-menti Önkormán</w:t>
      </w:r>
      <w:r w:rsidR="002A1C96">
        <w:rPr>
          <w:rFonts w:asciiTheme="majorHAnsi" w:hAnsiTheme="majorHAnsi"/>
          <w:sz w:val="22"/>
          <w:szCs w:val="22"/>
        </w:rPr>
        <w:t>yzati Társulás</w:t>
      </w:r>
    </w:p>
    <w:p w:rsidR="00BD7CC0" w:rsidRPr="00F932AC" w:rsidRDefault="00F932AC" w:rsidP="00BE196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43" w:hanging="15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3.2.2 </w:t>
      </w:r>
      <w:r w:rsidR="005402D1" w:rsidRPr="00F932AC">
        <w:rPr>
          <w:rFonts w:asciiTheme="majorHAnsi" w:hAnsiTheme="majorHAnsi"/>
          <w:sz w:val="22"/>
          <w:szCs w:val="22"/>
        </w:rPr>
        <w:t xml:space="preserve">székhelye: 6647 Csanytelek, </w:t>
      </w:r>
      <w:proofErr w:type="spellStart"/>
      <w:r w:rsidR="005402D1" w:rsidRPr="00F932AC">
        <w:rPr>
          <w:rFonts w:asciiTheme="majorHAnsi" w:hAnsiTheme="majorHAnsi"/>
          <w:sz w:val="22"/>
          <w:szCs w:val="22"/>
        </w:rPr>
        <w:t>Volentér</w:t>
      </w:r>
      <w:proofErr w:type="spellEnd"/>
      <w:r w:rsidR="005402D1" w:rsidRPr="00F932AC">
        <w:rPr>
          <w:rFonts w:asciiTheme="majorHAnsi" w:hAnsiTheme="majorHAnsi"/>
          <w:sz w:val="22"/>
          <w:szCs w:val="22"/>
        </w:rPr>
        <w:t xml:space="preserve"> János tér 2.</w:t>
      </w:r>
    </w:p>
    <w:p w:rsidR="00E57AA3" w:rsidRPr="00BD7CC0" w:rsidRDefault="00BD7CC0" w:rsidP="00BD7CC0">
      <w:pPr>
        <w:tabs>
          <w:tab w:val="left" w:leader="dot" w:pos="9072"/>
        </w:tabs>
        <w:spacing w:before="720" w:after="480"/>
        <w:ind w:right="-143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4. </w:t>
      </w:r>
      <w:r w:rsidR="00E57AA3" w:rsidRPr="00BD7CC0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5402D1" w:rsidRPr="00BD7CC0" w:rsidRDefault="00BD7CC0" w:rsidP="00BD7CC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285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4.1 </w:t>
      </w:r>
      <w:r w:rsidR="00E57AA3" w:rsidRPr="00BD7CC0">
        <w:rPr>
          <w:rFonts w:asciiTheme="majorHAnsi" w:hAnsiTheme="majorHAnsi"/>
          <w:sz w:val="22"/>
          <w:szCs w:val="22"/>
        </w:rPr>
        <w:t>A köl</w:t>
      </w:r>
      <w:r w:rsidR="005402D1" w:rsidRPr="00BD7CC0">
        <w:rPr>
          <w:rFonts w:asciiTheme="majorHAnsi" w:hAnsiTheme="majorHAnsi"/>
          <w:sz w:val="22"/>
          <w:szCs w:val="22"/>
        </w:rPr>
        <w:t>tségvetési szerv közfeladata: Szociális alapszolgáltatások keretében: szociális étkeztetés, nappali ellátás, tanyagondnoki szolgáltatás, család- és gyermekjóléti szolgáltatási feladatot ellátó szolgálat, család- és gyermekjóléti központ, támogató szolgáltatás, pszichiátriai betegek közösségi ellátása, szenvedélybetegek közösségi ellátása, házi segítségnyújtás, jelzőrendszeres házi segítséggyújtás, fogyatékosok nappali intézménye működtetése.</w:t>
      </w:r>
      <w:r w:rsidR="005402D1" w:rsidRPr="00BD7CC0">
        <w:rPr>
          <w:rFonts w:asciiTheme="majorHAnsi" w:hAnsiTheme="majorHAnsi"/>
          <w:sz w:val="22"/>
          <w:szCs w:val="22"/>
        </w:rPr>
        <w:br/>
        <w:t>Gyermekjóléti alapellátások: gyermekek átmeneti otthona működtetése. Számviteli, pénzügyi, munkaügyi feladatait megállapodás alapján a Gazdasági Ellátó Szervezet látja el.</w:t>
      </w:r>
    </w:p>
    <w:p w:rsidR="00E57AA3" w:rsidRPr="00BD7CC0" w:rsidRDefault="00BD7CC0" w:rsidP="00BD7CC0">
      <w:pPr>
        <w:tabs>
          <w:tab w:val="left" w:pos="567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4.2 </w:t>
      </w:r>
      <w:r w:rsidR="00E57AA3" w:rsidRPr="00BD7CC0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2B676A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881000</w:t>
            </w:r>
          </w:p>
        </w:tc>
        <w:tc>
          <w:tcPr>
            <w:tcW w:w="3644" w:type="pct"/>
          </w:tcPr>
          <w:p w:rsidR="00420503" w:rsidRPr="00744E0B" w:rsidRDefault="002B676A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Idősek, fogyatékosok szociális ellátása bentlakás nélkül</w:t>
            </w:r>
          </w:p>
        </w:tc>
      </w:tr>
    </w:tbl>
    <w:p w:rsidR="00E57AA3" w:rsidRPr="00BD7CC0" w:rsidRDefault="00BD7CC0" w:rsidP="00BD7CC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4.3 </w:t>
      </w:r>
      <w:r w:rsidR="00E57AA3" w:rsidRPr="00BD7CC0">
        <w:rPr>
          <w:rFonts w:asciiTheme="majorHAnsi" w:hAnsiTheme="majorHAnsi"/>
          <w:sz w:val="22"/>
          <w:szCs w:val="22"/>
        </w:rPr>
        <w:t>A költsé</w:t>
      </w:r>
      <w:r w:rsidR="002B676A" w:rsidRPr="00BD7CC0">
        <w:rPr>
          <w:rFonts w:asciiTheme="majorHAnsi" w:hAnsiTheme="majorHAnsi"/>
          <w:sz w:val="22"/>
          <w:szCs w:val="22"/>
        </w:rPr>
        <w:t>gvetési szerv alaptevékenysége: Szociális és gyermekjóléti alapszolgáltatások biztosítása, anya</w:t>
      </w:r>
      <w:r w:rsidR="006A4FB7" w:rsidRPr="00BD7CC0">
        <w:rPr>
          <w:rFonts w:asciiTheme="majorHAnsi" w:hAnsiTheme="majorHAnsi"/>
          <w:sz w:val="22"/>
          <w:szCs w:val="22"/>
        </w:rPr>
        <w:t xml:space="preserve">ság, betegség, rokkantság, fogyatékosság, özvegység, árvaság munkanélküliség miatt szociális rászorult személyeknek, családoknak, esélyegyenlőségük, szociális biztonságuk érdekében.              </w:t>
      </w:r>
    </w:p>
    <w:p w:rsidR="00E57AA3" w:rsidRPr="00BD7CC0" w:rsidRDefault="00BD7CC0" w:rsidP="00BD7CC0">
      <w:pPr>
        <w:tabs>
          <w:tab w:val="left" w:leader="dot" w:pos="9072"/>
          <w:tab w:val="left" w:leader="dot" w:pos="16443"/>
        </w:tabs>
        <w:spacing w:before="240"/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4.4 </w:t>
      </w:r>
      <w:r w:rsidR="00E57AA3" w:rsidRPr="00BD7CC0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041231</w:t>
            </w:r>
          </w:p>
        </w:tc>
        <w:tc>
          <w:tcPr>
            <w:tcW w:w="3644" w:type="pct"/>
          </w:tcPr>
          <w:p w:rsidR="00420503" w:rsidRPr="00744E0B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Rövid időtartamú közfoglalkoztatás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420503" w:rsidRPr="00744E0B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041233</w:t>
            </w:r>
          </w:p>
        </w:tc>
        <w:tc>
          <w:tcPr>
            <w:tcW w:w="3644" w:type="pct"/>
          </w:tcPr>
          <w:p w:rsidR="00420503" w:rsidRPr="00744E0B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Hosszabb időtartamú közfoglalkoztatás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5E1258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101143</w:t>
            </w:r>
          </w:p>
        </w:tc>
        <w:tc>
          <w:tcPr>
            <w:tcW w:w="3644" w:type="pct"/>
          </w:tcPr>
          <w:p w:rsidR="005E1258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Pszichiátriai betegek közösségi alapellátása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420503" w:rsidRPr="00744E0B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101144</w:t>
            </w:r>
          </w:p>
        </w:tc>
        <w:tc>
          <w:tcPr>
            <w:tcW w:w="3644" w:type="pct"/>
          </w:tcPr>
          <w:p w:rsidR="00420503" w:rsidRPr="00744E0B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Szenvedélybetegek közösségi alapellátása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5E1258" w:rsidRPr="00744E0B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101221</w:t>
            </w:r>
          </w:p>
        </w:tc>
        <w:tc>
          <w:tcPr>
            <w:tcW w:w="3644" w:type="pct"/>
          </w:tcPr>
          <w:p w:rsidR="005E1258" w:rsidRPr="00744E0B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Fogyatékossággal élők nappali ellátása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:rsidR="005E1258" w:rsidRPr="00744E0B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101222</w:t>
            </w:r>
          </w:p>
        </w:tc>
        <w:tc>
          <w:tcPr>
            <w:tcW w:w="3644" w:type="pct"/>
          </w:tcPr>
          <w:p w:rsidR="005E1258" w:rsidRPr="00744E0B" w:rsidRDefault="005E125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Támogató szolgál</w:t>
            </w:r>
            <w:r w:rsidR="00FF7EF6">
              <w:rPr>
                <w:rFonts w:asciiTheme="majorHAnsi" w:hAnsiTheme="majorHAnsi"/>
              </w:rPr>
              <w:t>tatás fogyatékos személyek részé</w:t>
            </w:r>
            <w:r>
              <w:rPr>
                <w:rFonts w:asciiTheme="majorHAnsi" w:hAnsiTheme="majorHAnsi"/>
              </w:rPr>
              <w:t>re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68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102031</w:t>
            </w:r>
          </w:p>
        </w:tc>
        <w:tc>
          <w:tcPr>
            <w:tcW w:w="3644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Idősek nappali ellátása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068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102032</w:t>
            </w:r>
          </w:p>
        </w:tc>
        <w:tc>
          <w:tcPr>
            <w:tcW w:w="3644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Demens</w:t>
            </w:r>
            <w:proofErr w:type="spellEnd"/>
            <w:r>
              <w:rPr>
                <w:rFonts w:asciiTheme="majorHAnsi" w:hAnsiTheme="majorHAnsi"/>
              </w:rPr>
              <w:t xml:space="preserve"> betegek nappali ellátása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068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104012</w:t>
            </w:r>
          </w:p>
        </w:tc>
        <w:tc>
          <w:tcPr>
            <w:tcW w:w="3644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Gyermekek átmeneti ellátása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68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104042</w:t>
            </w:r>
          </w:p>
        </w:tc>
        <w:tc>
          <w:tcPr>
            <w:tcW w:w="3644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Család- és gyermekjóléti szolgáltatás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68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104043</w:t>
            </w:r>
          </w:p>
        </w:tc>
        <w:tc>
          <w:tcPr>
            <w:tcW w:w="3644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Család- és gyermekjóléti központ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068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107051</w:t>
            </w:r>
          </w:p>
        </w:tc>
        <w:tc>
          <w:tcPr>
            <w:tcW w:w="3644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Szociális étkeztetés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068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107052</w:t>
            </w:r>
          </w:p>
        </w:tc>
        <w:tc>
          <w:tcPr>
            <w:tcW w:w="3644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Házi segítségnyújtás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068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107053</w:t>
            </w:r>
          </w:p>
        </w:tc>
        <w:tc>
          <w:tcPr>
            <w:tcW w:w="3644" w:type="pct"/>
          </w:tcPr>
          <w:p w:rsidR="005E1258" w:rsidRPr="00744E0B" w:rsidRDefault="00FF7E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Jelzőrendszeres házi segítségnyújtás</w:t>
            </w:r>
          </w:p>
        </w:tc>
      </w:tr>
      <w:tr w:rsidR="005E1258" w:rsidRPr="0059292E" w:rsidTr="001A47A5">
        <w:tc>
          <w:tcPr>
            <w:tcW w:w="288" w:type="pct"/>
            <w:vAlign w:val="center"/>
          </w:tcPr>
          <w:p w:rsidR="005E1258" w:rsidRPr="00744E0B" w:rsidRDefault="005E125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068" w:type="pct"/>
          </w:tcPr>
          <w:p w:rsidR="005E1258" w:rsidRPr="00744E0B" w:rsidRDefault="00646C2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107055</w:t>
            </w:r>
          </w:p>
        </w:tc>
        <w:tc>
          <w:tcPr>
            <w:tcW w:w="3644" w:type="pct"/>
          </w:tcPr>
          <w:p w:rsidR="005E1258" w:rsidRPr="00744E0B" w:rsidRDefault="00646C2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Falugondnoki, tanyagondnoki szolgáltatás</w:t>
            </w:r>
          </w:p>
        </w:tc>
      </w:tr>
    </w:tbl>
    <w:p w:rsidR="002A1C96" w:rsidRDefault="002A1C96" w:rsidP="00BD7CC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jc w:val="both"/>
        <w:rPr>
          <w:rFonts w:asciiTheme="majorHAnsi" w:hAnsiTheme="majorHAnsi"/>
          <w:sz w:val="22"/>
          <w:szCs w:val="22"/>
        </w:rPr>
      </w:pPr>
    </w:p>
    <w:p w:rsidR="00E62BD8" w:rsidRPr="00BD7CC0" w:rsidRDefault="00BD7CC0" w:rsidP="00BD7CC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4.5  </w:t>
      </w:r>
      <w:r w:rsidR="00E57AA3" w:rsidRPr="00BD7CC0">
        <w:rPr>
          <w:rFonts w:asciiTheme="majorHAnsi" w:hAnsiTheme="majorHAnsi"/>
          <w:sz w:val="22"/>
          <w:szCs w:val="22"/>
        </w:rPr>
        <w:t>A költségvetési szerv il</w:t>
      </w:r>
      <w:r w:rsidR="00E62BD8" w:rsidRPr="00BD7CC0">
        <w:rPr>
          <w:rFonts w:asciiTheme="majorHAnsi" w:hAnsiTheme="majorHAnsi"/>
          <w:sz w:val="22"/>
          <w:szCs w:val="22"/>
        </w:rPr>
        <w:t xml:space="preserve">letékessége, működési területe: </w:t>
      </w:r>
    </w:p>
    <w:p w:rsidR="00E62BD8" w:rsidRPr="00E62BD8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Tanyagondnoki szolgáltatás: Csongrád város közigazgatási területe. </w:t>
      </w:r>
    </w:p>
    <w:p w:rsidR="00E62BD8" w:rsidRPr="00E62BD8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Étkeztetés: Csongrád város közigazgatási területe. </w:t>
      </w:r>
    </w:p>
    <w:p w:rsidR="00E62BD8" w:rsidRPr="00E62BD8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Házi segítségnyújtás: Csongrád város közigazgatási területe. </w:t>
      </w:r>
    </w:p>
    <w:p w:rsidR="00E62BD8" w:rsidRPr="00E62BD8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Család- és gyermekjóléti szolgáltatás: Csongrád város közigazgatási területe. </w:t>
      </w:r>
    </w:p>
    <w:p w:rsidR="00E62BD8" w:rsidRPr="00E62BD8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Család- és gyermekjóléti központ: Csongrád város, Csanytelek, Felgyő és Tömörkény községek közigazgatási területe. </w:t>
      </w:r>
    </w:p>
    <w:p w:rsidR="00E62BD8" w:rsidRPr="00E62BD8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Jelzőrendszeres házi segítségnyújtás: Csongrád város, Csanytelek, Felgyő és Tömörkény községek közigazgatási területe, továbbá megállapodás szerint Tiszasas község közigazgatási területe. </w:t>
      </w:r>
    </w:p>
    <w:p w:rsidR="00E62BD8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Támogató szolgálat: Csongrád város, Csanytelek, Felgyő és Tömörkény községek közigazgatási területe. </w:t>
      </w:r>
    </w:p>
    <w:p w:rsidR="00E62BD8" w:rsidRPr="00E62BD8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Nappali ellátás: Csongrád város közigazgatási területe. </w:t>
      </w:r>
    </w:p>
    <w:p w:rsidR="00E62BD8" w:rsidRPr="00E62BD8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Pszichiátriai betegek közösségi ellátás: Csongrád város, Csanytelek, Felgyő és Tömörkény községek közigazgatási területe. </w:t>
      </w:r>
    </w:p>
    <w:p w:rsidR="00E62BD8" w:rsidRPr="00E62BD8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Szenvedélybetegek közösségi ellátása: Csongrád város, Csanytelek, Felgyő és Tömörkény községek közigazgatási területe. </w:t>
      </w:r>
    </w:p>
    <w:p w:rsidR="00FB032D" w:rsidRDefault="00E62BD8" w:rsidP="00BD7CC0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Fogyatékosok nappali intézménye: Csongrád város, Csanytelek, Felgyő és Tömörkény községek közigazgatási területe. </w:t>
      </w:r>
    </w:p>
    <w:p w:rsidR="00BD7CC0" w:rsidRPr="00FB032D" w:rsidRDefault="00E62BD8" w:rsidP="00BE1967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>Gyermekek Átmeneti Otthona: Magyarország egész területe (Csongrád város, Felgyő, Csanytelek és Tömörkény községek).</w:t>
      </w:r>
    </w:p>
    <w:p w:rsidR="00E57AA3" w:rsidRPr="00BD7CC0" w:rsidRDefault="00BD7CC0" w:rsidP="00BD7CC0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5. </w:t>
      </w:r>
      <w:r w:rsidR="00E57AA3" w:rsidRPr="00BD7CC0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BD7CC0" w:rsidRDefault="00BD7CC0" w:rsidP="00BD7CC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5.1 </w:t>
      </w:r>
      <w:r w:rsidR="00E57AA3" w:rsidRPr="00BD7CC0">
        <w:rPr>
          <w:rFonts w:asciiTheme="majorHAnsi" w:hAnsiTheme="majorHAnsi"/>
          <w:sz w:val="22"/>
          <w:szCs w:val="22"/>
        </w:rPr>
        <w:t>A költségvetési szer</w:t>
      </w:r>
      <w:r w:rsidR="00FB032D" w:rsidRPr="00BD7CC0">
        <w:rPr>
          <w:rFonts w:asciiTheme="majorHAnsi" w:hAnsiTheme="majorHAnsi"/>
          <w:sz w:val="22"/>
          <w:szCs w:val="22"/>
        </w:rPr>
        <w:t>v vezetőjének megbízási rendje: A kinevezési, megbízási jogkör gyakorlója az Alsó- Tisza-menti Önkormányzati társulás Társulási Tanácsa nyilvános pályáztatás alapján. A megbízás időtartama határozott, 5 év. A pályázati eljárással kapcsolatos feladatokat a Társulás Társulási Tanácsa Elnöke látja el. A költségvetési szerv vezetője megbízásának rendjét meghatározó jogszabályok: a Magyarország helyi önkormányzatairól szóló 2011. évi CLXXXIX. tv</w:t>
      </w:r>
      <w:proofErr w:type="gramStart"/>
      <w:r w:rsidR="00FB032D" w:rsidRPr="00BD7CC0">
        <w:rPr>
          <w:rFonts w:asciiTheme="majorHAnsi" w:hAnsiTheme="majorHAnsi"/>
          <w:sz w:val="22"/>
          <w:szCs w:val="22"/>
        </w:rPr>
        <w:t>.,</w:t>
      </w:r>
      <w:proofErr w:type="gramEnd"/>
      <w:r w:rsidR="00FB032D" w:rsidRPr="00BD7CC0">
        <w:rPr>
          <w:rFonts w:asciiTheme="majorHAnsi" w:hAnsiTheme="majorHAnsi"/>
          <w:sz w:val="22"/>
          <w:szCs w:val="22"/>
        </w:rPr>
        <w:t xml:space="preserve"> a közalkalmazottak jogállásáról szóló 1992. évi XXXIII. törvény. A kinevezési, megbízási jogkör magába foglalja a felmentés, az összeférhetetlenség megállapítását, a fegyelmi eljárás megindítását, a fegyelmi büntetés kiszabását. Az egyéb munkáltatói jogkört a Társulás Társulási Tanácsa Elnöke gyakorolja, melyen a kinevezési, megbízási jogkörön kívül minden más munkáltatói jogok kell érteni. A vezető felett az egyéb munkáltatói jogokat a Társulás Társulási Tanácsa Elnöke gyakorolja. A vezetői megbízás határozott időre szól. </w:t>
      </w:r>
    </w:p>
    <w:p w:rsidR="00E57AA3" w:rsidRPr="00BD7CC0" w:rsidRDefault="00BD7CC0" w:rsidP="00BD7CC0">
      <w:pPr>
        <w:tabs>
          <w:tab w:val="left" w:leader="dot" w:pos="9072"/>
        </w:tabs>
        <w:spacing w:before="240"/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5.2 </w:t>
      </w:r>
      <w:r w:rsidR="00E57AA3" w:rsidRPr="00BD7CC0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420503" w:rsidRPr="00744E0B" w:rsidRDefault="00FB032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420503" w:rsidRPr="00744E0B" w:rsidRDefault="00FB032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Közalkalmazottak jogállásáról szóló 1992. évi XXXIII.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420503" w:rsidRPr="00744E0B" w:rsidRDefault="00FB032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munkajogi jogviszony</w:t>
            </w:r>
          </w:p>
        </w:tc>
        <w:tc>
          <w:tcPr>
            <w:tcW w:w="3020" w:type="pct"/>
          </w:tcPr>
          <w:p w:rsidR="00420503" w:rsidRPr="00744E0B" w:rsidRDefault="00FB032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 Törvénykönyvéről szóló 2012. évi I. törvény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420503" w:rsidRPr="00744E0B" w:rsidRDefault="00FB032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megbízási jogviszony</w:t>
            </w:r>
          </w:p>
        </w:tc>
        <w:tc>
          <w:tcPr>
            <w:tcW w:w="3020" w:type="pct"/>
          </w:tcPr>
          <w:p w:rsidR="00420503" w:rsidRPr="00744E0B" w:rsidRDefault="00FB032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Polgári Törvé</w:t>
            </w:r>
            <w:r w:rsidR="008A30EC">
              <w:rPr>
                <w:rFonts w:asciiTheme="majorHAnsi" w:hAnsiTheme="majorHAnsi"/>
              </w:rPr>
              <w:t>nykönyvről szóló 2013. évi V. t</w:t>
            </w:r>
            <w:r>
              <w:rPr>
                <w:rFonts w:asciiTheme="majorHAnsi" w:hAnsiTheme="majorHAnsi"/>
              </w:rPr>
              <w:t>örvény</w:t>
            </w:r>
          </w:p>
        </w:tc>
      </w:tr>
    </w:tbl>
    <w:p w:rsidR="00BD7CC0" w:rsidRDefault="00BD7CC0" w:rsidP="008D5664">
      <w:pPr>
        <w:tabs>
          <w:tab w:val="left" w:leader="dot" w:pos="9072"/>
          <w:tab w:val="left" w:leader="dot" w:pos="9781"/>
        </w:tabs>
        <w:spacing w:before="720" w:after="480"/>
        <w:rPr>
          <w:rFonts w:asciiTheme="majorHAnsi" w:hAnsiTheme="majorHAnsi"/>
          <w:sz w:val="22"/>
          <w:szCs w:val="22"/>
        </w:rPr>
      </w:pPr>
    </w:p>
    <w:p w:rsidR="00BE1967" w:rsidRDefault="00BE1967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E57AA3" w:rsidRPr="00BD7CC0" w:rsidRDefault="00BE1967" w:rsidP="00BD7CC0">
      <w:pPr>
        <w:spacing w:after="200"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6</w:t>
      </w:r>
      <w:r w:rsidR="00BD7CC0" w:rsidRPr="00BD7CC0">
        <w:rPr>
          <w:rFonts w:asciiTheme="majorHAnsi" w:hAnsiTheme="majorHAnsi"/>
          <w:b/>
          <w:sz w:val="28"/>
          <w:szCs w:val="28"/>
        </w:rPr>
        <w:t>.</w:t>
      </w:r>
      <w:r w:rsidR="00BD7CC0">
        <w:rPr>
          <w:rFonts w:asciiTheme="majorHAnsi" w:hAnsiTheme="majorHAnsi"/>
          <w:sz w:val="22"/>
          <w:szCs w:val="22"/>
        </w:rPr>
        <w:t xml:space="preserve"> </w:t>
      </w:r>
      <w:r w:rsidR="00E57AA3" w:rsidRPr="008D5664">
        <w:rPr>
          <w:rFonts w:asciiTheme="majorHAnsi" w:hAnsiTheme="majorHAnsi"/>
          <w:b/>
          <w:sz w:val="28"/>
          <w:szCs w:val="24"/>
        </w:rPr>
        <w:t>Záró rendelkezés</w:t>
      </w:r>
    </w:p>
    <w:p w:rsidR="002674AB" w:rsidRDefault="002674AB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Jelen alapító okiratot 2015. július 01. napjától kell alkalmazni, ezzel egyidejűleg a költségvetési szerv 2015. március 05. napján kelt, Csongrád </w:t>
      </w:r>
      <w:r w:rsidR="00E53A0D">
        <w:rPr>
          <w:rFonts w:asciiTheme="majorHAnsi" w:hAnsiTheme="majorHAnsi"/>
          <w:sz w:val="22"/>
          <w:szCs w:val="24"/>
        </w:rPr>
        <w:t>V</w:t>
      </w:r>
      <w:r>
        <w:rPr>
          <w:rFonts w:asciiTheme="majorHAnsi" w:hAnsiTheme="majorHAnsi"/>
          <w:sz w:val="22"/>
          <w:szCs w:val="24"/>
        </w:rPr>
        <w:t>árosi Önkormányzata Képviselő-testülete 46/2015. (III. 05. okiratszámú alapító okiratot visszavonom.</w:t>
      </w:r>
    </w:p>
    <w:p w:rsidR="006151B6" w:rsidRDefault="006151B6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Kelt</w:t>
      </w:r>
      <w:r w:rsidR="008A30EC">
        <w:rPr>
          <w:rFonts w:asciiTheme="majorHAnsi" w:hAnsiTheme="majorHAnsi"/>
          <w:sz w:val="22"/>
          <w:szCs w:val="24"/>
        </w:rPr>
        <w:t>: Csanytelek, 2016. február 15.</w:t>
      </w:r>
    </w:p>
    <w:p w:rsidR="003B38B8" w:rsidRDefault="003B38B8" w:rsidP="003B38B8">
      <w:pPr>
        <w:rPr>
          <w:rFonts w:asciiTheme="majorHAnsi" w:hAnsiTheme="majorHAnsi"/>
          <w:sz w:val="22"/>
          <w:szCs w:val="24"/>
        </w:rPr>
      </w:pPr>
    </w:p>
    <w:p w:rsidR="002A1C96" w:rsidRDefault="002A1C96" w:rsidP="003B38B8">
      <w:pPr>
        <w:rPr>
          <w:rFonts w:asciiTheme="majorHAnsi" w:hAnsiTheme="majorHAnsi"/>
          <w:sz w:val="22"/>
          <w:szCs w:val="24"/>
        </w:rPr>
      </w:pPr>
    </w:p>
    <w:p w:rsidR="002A1C96" w:rsidRDefault="002A1C96" w:rsidP="003B38B8">
      <w:pPr>
        <w:rPr>
          <w:rFonts w:asciiTheme="majorHAnsi" w:hAnsiTheme="majorHAnsi"/>
          <w:sz w:val="22"/>
          <w:szCs w:val="24"/>
        </w:rPr>
      </w:pPr>
    </w:p>
    <w:p w:rsidR="002A1C96" w:rsidRDefault="002A1C96" w:rsidP="003B38B8">
      <w:pPr>
        <w:rPr>
          <w:rFonts w:asciiTheme="majorHAnsi" w:hAnsiTheme="majorHAnsi"/>
          <w:sz w:val="22"/>
          <w:szCs w:val="24"/>
        </w:rPr>
      </w:pPr>
    </w:p>
    <w:p w:rsidR="002A1C96" w:rsidRDefault="002A1C96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AF26CD" w:rsidP="000857E4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 w:rsidR="007E6425">
        <w:rPr>
          <w:rFonts w:asciiTheme="majorHAnsi" w:hAnsiTheme="majorHAnsi"/>
          <w:sz w:val="22"/>
          <w:szCs w:val="24"/>
        </w:rPr>
        <w:br/>
      </w:r>
      <w:r>
        <w:rPr>
          <w:rFonts w:asciiTheme="majorHAnsi" w:hAnsiTheme="majorHAnsi"/>
          <w:sz w:val="22"/>
          <w:szCs w:val="24"/>
        </w:rPr>
        <w:t xml:space="preserve">5. § (4) bekezdése alapján a </w:t>
      </w:r>
      <w:r w:rsidR="003B38B8"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 w:rsidR="00FC67C7">
        <w:rPr>
          <w:rFonts w:asciiTheme="majorHAnsi" w:hAnsiTheme="majorHAnsi"/>
          <w:sz w:val="22"/>
          <w:szCs w:val="24"/>
        </w:rPr>
        <w:t xml:space="preserve">az alapító okiratnak </w:t>
      </w:r>
      <w:r w:rsidR="003B38B8" w:rsidRPr="003B38B8">
        <w:rPr>
          <w:rFonts w:asciiTheme="majorHAnsi" w:hAnsiTheme="majorHAnsi"/>
          <w:sz w:val="22"/>
          <w:szCs w:val="24"/>
        </w:rPr>
        <w:t>a</w:t>
      </w:r>
      <w:r w:rsidR="008A30EC">
        <w:rPr>
          <w:rFonts w:asciiTheme="majorHAnsi" w:hAnsiTheme="majorHAnsi"/>
          <w:sz w:val="22"/>
          <w:szCs w:val="24"/>
        </w:rPr>
        <w:t xml:space="preserve">z Esély Szociális és Gyermekjóléti Alapellátási Központ 2016. február 15. </w:t>
      </w:r>
      <w:r w:rsidR="00E66F16" w:rsidRPr="002A0DDD">
        <w:rPr>
          <w:rFonts w:asciiTheme="majorHAnsi" w:hAnsiTheme="majorHAnsi"/>
          <w:sz w:val="22"/>
          <w:szCs w:val="24"/>
        </w:rPr>
        <w:t>napján kelt</w:t>
      </w:r>
      <w:r w:rsidR="00D44F6F">
        <w:rPr>
          <w:rFonts w:asciiTheme="majorHAnsi" w:hAnsiTheme="majorHAnsi"/>
          <w:sz w:val="22"/>
          <w:szCs w:val="24"/>
        </w:rPr>
        <w:t>, …………………………………</w:t>
      </w:r>
      <w:r w:rsidR="00FA1C15">
        <w:rPr>
          <w:rFonts w:asciiTheme="majorHAnsi" w:hAnsiTheme="majorHAnsi"/>
          <w:sz w:val="22"/>
          <w:szCs w:val="24"/>
        </w:rPr>
        <w:t>napjától alkalmazand</w:t>
      </w:r>
      <w:r w:rsidR="008A30EC">
        <w:rPr>
          <w:rFonts w:asciiTheme="majorHAnsi" w:hAnsiTheme="majorHAnsi"/>
          <w:sz w:val="22"/>
          <w:szCs w:val="24"/>
        </w:rPr>
        <w:t xml:space="preserve">ó 8/2016. </w:t>
      </w:r>
      <w:r w:rsidR="003B38B8" w:rsidRPr="003B38B8">
        <w:rPr>
          <w:rFonts w:asciiTheme="majorHAnsi" w:hAnsiTheme="majorHAnsi"/>
          <w:sz w:val="22"/>
          <w:szCs w:val="24"/>
        </w:rPr>
        <w:t>okiratszámú módosító okirat</w:t>
      </w:r>
      <w:r w:rsidR="00FC67C7">
        <w:rPr>
          <w:rFonts w:asciiTheme="majorHAnsi" w:hAnsiTheme="majorHAnsi"/>
          <w:sz w:val="22"/>
          <w:szCs w:val="24"/>
        </w:rPr>
        <w:t>tal végrehajtott módosítása szerinti tartalmának</w:t>
      </w:r>
      <w:r w:rsidR="003B38B8" w:rsidRPr="003B38B8">
        <w:rPr>
          <w:rFonts w:asciiTheme="majorHAnsi" w:hAnsiTheme="majorHAnsi"/>
          <w:sz w:val="22"/>
          <w:szCs w:val="24"/>
        </w:rPr>
        <w:t>.</w:t>
      </w:r>
    </w:p>
    <w:p w:rsidR="000857E4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B38B8" w:rsidRDefault="003B38B8" w:rsidP="00744E0B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Kelt</w:t>
      </w:r>
      <w:proofErr w:type="gramStart"/>
      <w:r w:rsidRPr="002A0DDD">
        <w:rPr>
          <w:rFonts w:asciiTheme="majorHAnsi" w:hAnsiTheme="majorHAnsi"/>
          <w:sz w:val="22"/>
          <w:szCs w:val="24"/>
        </w:rPr>
        <w:t>:</w:t>
      </w:r>
      <w:r w:rsidR="008A30EC">
        <w:rPr>
          <w:rFonts w:asciiTheme="majorHAnsi" w:hAnsiTheme="majorHAnsi"/>
          <w:sz w:val="22"/>
          <w:szCs w:val="24"/>
        </w:rPr>
        <w:t>………………………………………………..</w:t>
      </w:r>
      <w:proofErr w:type="gramEnd"/>
    </w:p>
    <w:p w:rsidR="00744E0B" w:rsidRPr="00E57AA3" w:rsidRDefault="00744E0B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01D72" w:rsidRDefault="00744E0B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8D73AC" w:rsidRDefault="008D73AC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:rsidR="008D73AC" w:rsidRDefault="008D73AC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:rsidR="008D73AC" w:rsidRDefault="008D73AC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:rsidR="008D73AC" w:rsidRDefault="008D73AC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:rsidR="008D73AC" w:rsidRDefault="008D73AC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:rsidR="008D73AC" w:rsidRDefault="008D73AC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:rsidR="008D73AC" w:rsidRPr="00AA1968" w:rsidRDefault="008D73AC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sectPr w:rsidR="008D73AC" w:rsidRPr="00AA1968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12" w:rsidRDefault="009D6A12" w:rsidP="00861402">
      <w:r>
        <w:separator/>
      </w:r>
    </w:p>
  </w:endnote>
  <w:endnote w:type="continuationSeparator" w:id="0">
    <w:p w:rsidR="009D6A12" w:rsidRDefault="009D6A12" w:rsidP="00861402">
      <w:r>
        <w:continuationSeparator/>
      </w:r>
    </w:p>
  </w:endnote>
  <w:endnote w:type="continuationNotice" w:id="1">
    <w:p w:rsidR="009D6A12" w:rsidRDefault="009D6A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9D6A12" w:rsidRPr="009F2115" w:rsidRDefault="00A370B4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9D6A12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E53A0D">
          <w:rPr>
            <w:rFonts w:asciiTheme="majorHAnsi" w:hAnsiTheme="majorHAnsi"/>
            <w:noProof/>
            <w:sz w:val="22"/>
            <w:szCs w:val="22"/>
          </w:rPr>
          <w:t>4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12" w:rsidRDefault="009D6A12" w:rsidP="00861402">
      <w:r>
        <w:separator/>
      </w:r>
    </w:p>
  </w:footnote>
  <w:footnote w:type="continuationSeparator" w:id="0">
    <w:p w:rsidR="009D6A12" w:rsidRDefault="009D6A12" w:rsidP="00861402">
      <w:r>
        <w:continuationSeparator/>
      </w:r>
    </w:p>
  </w:footnote>
  <w:footnote w:type="continuationNotice" w:id="1">
    <w:p w:rsidR="009D6A12" w:rsidRDefault="009D6A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12" w:rsidRDefault="009D6A1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12" w:rsidRDefault="009D6A1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12" w:rsidRDefault="009D6A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3335A"/>
    <w:rsid w:val="00056A15"/>
    <w:rsid w:val="0006031B"/>
    <w:rsid w:val="0006058A"/>
    <w:rsid w:val="0006567D"/>
    <w:rsid w:val="000857E4"/>
    <w:rsid w:val="000B07BD"/>
    <w:rsid w:val="000B4360"/>
    <w:rsid w:val="000B6ABC"/>
    <w:rsid w:val="000C6A18"/>
    <w:rsid w:val="000E4A08"/>
    <w:rsid w:val="000E5193"/>
    <w:rsid w:val="001130D2"/>
    <w:rsid w:val="0011403E"/>
    <w:rsid w:val="00114A3E"/>
    <w:rsid w:val="0011565C"/>
    <w:rsid w:val="001375B6"/>
    <w:rsid w:val="00141015"/>
    <w:rsid w:val="00145E2F"/>
    <w:rsid w:val="00156898"/>
    <w:rsid w:val="00161FD1"/>
    <w:rsid w:val="00173C27"/>
    <w:rsid w:val="00181139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406C1"/>
    <w:rsid w:val="00246BF1"/>
    <w:rsid w:val="002674AB"/>
    <w:rsid w:val="00270A43"/>
    <w:rsid w:val="00287A35"/>
    <w:rsid w:val="002A0DDD"/>
    <w:rsid w:val="002A1C96"/>
    <w:rsid w:val="002B0F3B"/>
    <w:rsid w:val="002B676A"/>
    <w:rsid w:val="002B7552"/>
    <w:rsid w:val="002D49A9"/>
    <w:rsid w:val="002E7C12"/>
    <w:rsid w:val="002F0BB2"/>
    <w:rsid w:val="002F771D"/>
    <w:rsid w:val="00326598"/>
    <w:rsid w:val="003424E1"/>
    <w:rsid w:val="00351687"/>
    <w:rsid w:val="003621B0"/>
    <w:rsid w:val="003657EC"/>
    <w:rsid w:val="0036687F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49F1"/>
    <w:rsid w:val="0048118B"/>
    <w:rsid w:val="00486B00"/>
    <w:rsid w:val="0049154C"/>
    <w:rsid w:val="00495374"/>
    <w:rsid w:val="004977BD"/>
    <w:rsid w:val="004A78E8"/>
    <w:rsid w:val="004B61D7"/>
    <w:rsid w:val="004E00CC"/>
    <w:rsid w:val="004E1997"/>
    <w:rsid w:val="004E5BA0"/>
    <w:rsid w:val="004F65B7"/>
    <w:rsid w:val="005015CB"/>
    <w:rsid w:val="00512AAC"/>
    <w:rsid w:val="0053549D"/>
    <w:rsid w:val="005402D1"/>
    <w:rsid w:val="00547A4C"/>
    <w:rsid w:val="00550FD3"/>
    <w:rsid w:val="00554DDF"/>
    <w:rsid w:val="005640FE"/>
    <w:rsid w:val="00566F3C"/>
    <w:rsid w:val="00585A4A"/>
    <w:rsid w:val="0059292E"/>
    <w:rsid w:val="005A527B"/>
    <w:rsid w:val="005B0136"/>
    <w:rsid w:val="005B44DC"/>
    <w:rsid w:val="005C1EF7"/>
    <w:rsid w:val="005D5027"/>
    <w:rsid w:val="005E1258"/>
    <w:rsid w:val="005E4865"/>
    <w:rsid w:val="005E4A5A"/>
    <w:rsid w:val="005E54E4"/>
    <w:rsid w:val="00607DE6"/>
    <w:rsid w:val="006151B6"/>
    <w:rsid w:val="00615800"/>
    <w:rsid w:val="0062102D"/>
    <w:rsid w:val="0062209D"/>
    <w:rsid w:val="00622B43"/>
    <w:rsid w:val="00632953"/>
    <w:rsid w:val="00646C2E"/>
    <w:rsid w:val="006541CD"/>
    <w:rsid w:val="00667A84"/>
    <w:rsid w:val="006A4FB7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9168C"/>
    <w:rsid w:val="00791C6B"/>
    <w:rsid w:val="0079542F"/>
    <w:rsid w:val="007B06A6"/>
    <w:rsid w:val="007B2EC9"/>
    <w:rsid w:val="007B68DA"/>
    <w:rsid w:val="007B783F"/>
    <w:rsid w:val="007C01D0"/>
    <w:rsid w:val="007E6425"/>
    <w:rsid w:val="0080289D"/>
    <w:rsid w:val="008135EE"/>
    <w:rsid w:val="00820868"/>
    <w:rsid w:val="00820E47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61402"/>
    <w:rsid w:val="00864B30"/>
    <w:rsid w:val="008856A2"/>
    <w:rsid w:val="008923FD"/>
    <w:rsid w:val="008A30EC"/>
    <w:rsid w:val="008A7A6B"/>
    <w:rsid w:val="008C0F8B"/>
    <w:rsid w:val="008D1BDE"/>
    <w:rsid w:val="008D5664"/>
    <w:rsid w:val="008D6FD1"/>
    <w:rsid w:val="008D7130"/>
    <w:rsid w:val="008D73AC"/>
    <w:rsid w:val="008D74FF"/>
    <w:rsid w:val="008E3DBD"/>
    <w:rsid w:val="008E5C1B"/>
    <w:rsid w:val="008F0AF1"/>
    <w:rsid w:val="008F1B58"/>
    <w:rsid w:val="00903F65"/>
    <w:rsid w:val="009054A6"/>
    <w:rsid w:val="009213CD"/>
    <w:rsid w:val="009330B7"/>
    <w:rsid w:val="00947D3E"/>
    <w:rsid w:val="00960F7C"/>
    <w:rsid w:val="009710E7"/>
    <w:rsid w:val="00985D73"/>
    <w:rsid w:val="00985D85"/>
    <w:rsid w:val="00991CFB"/>
    <w:rsid w:val="009A3F59"/>
    <w:rsid w:val="009A6FD1"/>
    <w:rsid w:val="009A7318"/>
    <w:rsid w:val="009D28E9"/>
    <w:rsid w:val="009D6A12"/>
    <w:rsid w:val="009E475A"/>
    <w:rsid w:val="009E7F63"/>
    <w:rsid w:val="009F2115"/>
    <w:rsid w:val="009F31C7"/>
    <w:rsid w:val="00A00120"/>
    <w:rsid w:val="00A01186"/>
    <w:rsid w:val="00A019F1"/>
    <w:rsid w:val="00A113F6"/>
    <w:rsid w:val="00A2304D"/>
    <w:rsid w:val="00A247FF"/>
    <w:rsid w:val="00A27F87"/>
    <w:rsid w:val="00A322EA"/>
    <w:rsid w:val="00A370B4"/>
    <w:rsid w:val="00A43DC0"/>
    <w:rsid w:val="00A46DBA"/>
    <w:rsid w:val="00A703A0"/>
    <w:rsid w:val="00A74FCF"/>
    <w:rsid w:val="00A755BA"/>
    <w:rsid w:val="00A76FE6"/>
    <w:rsid w:val="00AA1968"/>
    <w:rsid w:val="00AA46D8"/>
    <w:rsid w:val="00AA5F20"/>
    <w:rsid w:val="00AB6837"/>
    <w:rsid w:val="00AC01C5"/>
    <w:rsid w:val="00AC75EC"/>
    <w:rsid w:val="00AD29AE"/>
    <w:rsid w:val="00AD6D29"/>
    <w:rsid w:val="00AE2CDF"/>
    <w:rsid w:val="00AF26CD"/>
    <w:rsid w:val="00AF282A"/>
    <w:rsid w:val="00AF3B6C"/>
    <w:rsid w:val="00AF5D15"/>
    <w:rsid w:val="00B129E2"/>
    <w:rsid w:val="00B16988"/>
    <w:rsid w:val="00B16D44"/>
    <w:rsid w:val="00B17887"/>
    <w:rsid w:val="00B214E8"/>
    <w:rsid w:val="00B21903"/>
    <w:rsid w:val="00B415B8"/>
    <w:rsid w:val="00B85764"/>
    <w:rsid w:val="00BB7B3E"/>
    <w:rsid w:val="00BD5696"/>
    <w:rsid w:val="00BD7CC0"/>
    <w:rsid w:val="00BE1967"/>
    <w:rsid w:val="00BE6DBD"/>
    <w:rsid w:val="00BF3AFD"/>
    <w:rsid w:val="00C018EC"/>
    <w:rsid w:val="00C2210E"/>
    <w:rsid w:val="00C227EB"/>
    <w:rsid w:val="00C433A5"/>
    <w:rsid w:val="00C502DC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056E0"/>
    <w:rsid w:val="00D14CE6"/>
    <w:rsid w:val="00D21BF9"/>
    <w:rsid w:val="00D24360"/>
    <w:rsid w:val="00D44F6F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3A0D"/>
    <w:rsid w:val="00E54A4D"/>
    <w:rsid w:val="00E57AA3"/>
    <w:rsid w:val="00E62BD8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35DE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75748"/>
    <w:rsid w:val="00F81A8E"/>
    <w:rsid w:val="00F9276A"/>
    <w:rsid w:val="00F92907"/>
    <w:rsid w:val="00F932AC"/>
    <w:rsid w:val="00F96F3A"/>
    <w:rsid w:val="00FA1C15"/>
    <w:rsid w:val="00FA3EE8"/>
    <w:rsid w:val="00FB032D"/>
    <w:rsid w:val="00FB408C"/>
    <w:rsid w:val="00FC3097"/>
    <w:rsid w:val="00FC5905"/>
    <w:rsid w:val="00FC67C7"/>
    <w:rsid w:val="00FE0331"/>
    <w:rsid w:val="00FE4F5C"/>
    <w:rsid w:val="00FE4FC8"/>
    <w:rsid w:val="00FE5524"/>
    <w:rsid w:val="00FF07B2"/>
    <w:rsid w:val="00FF6E3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173F-6BDA-4BC9-96F3-FDF66267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895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21</cp:revision>
  <cp:lastPrinted>2016-02-15T10:23:00Z</cp:lastPrinted>
  <dcterms:created xsi:type="dcterms:W3CDTF">2016-02-11T08:00:00Z</dcterms:created>
  <dcterms:modified xsi:type="dcterms:W3CDTF">2016-02-24T13:19:00Z</dcterms:modified>
</cp:coreProperties>
</file>